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175D" w14:textId="04283432" w:rsidR="00A8689A" w:rsidRDefault="001912E5" w:rsidP="001912E5">
      <w:pPr>
        <w:spacing w:before="120"/>
        <w:ind w:firstLine="0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378FB2B8" wp14:editId="1D10ED30">
            <wp:extent cx="3381375" cy="1901528"/>
            <wp:effectExtent l="0" t="0" r="0" b="3810"/>
            <wp:docPr id="3928548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854874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2CF5C" w14:textId="77777777" w:rsidR="001912E5" w:rsidRDefault="001912E5" w:rsidP="00B04862">
      <w:pPr>
        <w:spacing w:before="120"/>
        <w:ind w:firstLine="0"/>
        <w:rPr>
          <w:rFonts w:cs="Arial"/>
          <w:bCs/>
          <w:szCs w:val="24"/>
        </w:rPr>
      </w:pPr>
    </w:p>
    <w:p w14:paraId="20576E35" w14:textId="156722E8" w:rsidR="00B04862" w:rsidRPr="001233B2" w:rsidRDefault="0031359A" w:rsidP="00B04862">
      <w:pPr>
        <w:spacing w:before="120"/>
        <w:ind w:firstLine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Sono superiori a </w:t>
      </w:r>
      <w:r w:rsidRPr="0031359A">
        <w:rPr>
          <w:rFonts w:cs="Arial"/>
          <w:b/>
          <w:szCs w:val="24"/>
        </w:rPr>
        <w:t>57 miliardi di euro i</w:t>
      </w:r>
      <w:r w:rsidR="00B04862" w:rsidRPr="0031359A">
        <w:rPr>
          <w:rFonts w:cs="Arial"/>
          <w:b/>
          <w:szCs w:val="24"/>
        </w:rPr>
        <w:t xml:space="preserve"> consumi turistici</w:t>
      </w:r>
      <w:r w:rsidR="00B04862" w:rsidRPr="001233B2">
        <w:rPr>
          <w:rFonts w:cs="Arial"/>
          <w:bCs/>
          <w:szCs w:val="24"/>
        </w:rPr>
        <w:t xml:space="preserve"> realizzati </w:t>
      </w:r>
      <w:r w:rsidR="001233B2">
        <w:rPr>
          <w:rFonts w:cs="Arial"/>
          <w:bCs/>
          <w:szCs w:val="24"/>
        </w:rPr>
        <w:t xml:space="preserve">nel 2022 </w:t>
      </w:r>
      <w:r w:rsidR="00B04862" w:rsidRPr="001233B2">
        <w:rPr>
          <w:rFonts w:cs="Arial"/>
          <w:bCs/>
          <w:szCs w:val="24"/>
        </w:rPr>
        <w:t xml:space="preserve">nei primi 500 comuni </w:t>
      </w:r>
      <w:r>
        <w:rPr>
          <w:rFonts w:cs="Arial"/>
          <w:bCs/>
          <w:szCs w:val="24"/>
        </w:rPr>
        <w:t xml:space="preserve">italiani </w:t>
      </w:r>
      <w:r w:rsidR="00B04862" w:rsidRPr="001233B2">
        <w:rPr>
          <w:rFonts w:cs="Arial"/>
          <w:bCs/>
          <w:szCs w:val="24"/>
        </w:rPr>
        <w:t>a vocazione turistic</w:t>
      </w:r>
      <w:r>
        <w:rPr>
          <w:rFonts w:cs="Arial"/>
          <w:bCs/>
          <w:szCs w:val="24"/>
        </w:rPr>
        <w:t xml:space="preserve">a, </w:t>
      </w:r>
      <w:r w:rsidR="00B04862" w:rsidRPr="001233B2">
        <w:rPr>
          <w:rFonts w:cs="Arial"/>
          <w:bCs/>
          <w:szCs w:val="24"/>
        </w:rPr>
        <w:t xml:space="preserve">di cui l’88% (50,3 miliardi) relativi a presenze ufficiali e il 12% (6,8 miliardi) relativi a presenze “non osservate”. </w:t>
      </w:r>
    </w:p>
    <w:p w14:paraId="552BAB10" w14:textId="77777777" w:rsidR="00B04862" w:rsidRPr="001233B2" w:rsidRDefault="00B04862" w:rsidP="00B04862">
      <w:pPr>
        <w:spacing w:before="120"/>
        <w:ind w:firstLine="0"/>
        <w:rPr>
          <w:rFonts w:cs="Arial"/>
          <w:bCs/>
          <w:szCs w:val="24"/>
        </w:rPr>
      </w:pPr>
      <w:r w:rsidRPr="001233B2">
        <w:rPr>
          <w:rFonts w:cs="Arial"/>
          <w:bCs/>
          <w:szCs w:val="24"/>
        </w:rPr>
        <w:t xml:space="preserve">I pernottamenti non rilevati, che rappresentano il 23,6% dei flussi turistici, generano solo l’11,9% dei consumi e, di conseguenza, un’analoga percentuale nella creazione di ricchezza e di occupazione. </w:t>
      </w:r>
    </w:p>
    <w:p w14:paraId="3C2E7D9B" w14:textId="164028CB" w:rsidR="0046682F" w:rsidRDefault="00B04862" w:rsidP="00B04862">
      <w:pPr>
        <w:spacing w:before="120"/>
        <w:ind w:firstLine="0"/>
        <w:rPr>
          <w:rFonts w:cs="Arial"/>
          <w:szCs w:val="24"/>
        </w:rPr>
      </w:pPr>
      <w:r w:rsidRPr="001233B2">
        <w:rPr>
          <w:rFonts w:cs="Arial"/>
          <w:szCs w:val="24"/>
        </w:rPr>
        <w:t>Sono questi i principali risultati di un</w:t>
      </w:r>
      <w:r w:rsidR="0046682F" w:rsidRPr="001233B2">
        <w:rPr>
          <w:rFonts w:cs="Arial"/>
          <w:szCs w:val="24"/>
        </w:rPr>
        <w:t xml:space="preserve"> rapporto </w:t>
      </w:r>
      <w:r w:rsidRPr="001233B2">
        <w:rPr>
          <w:rFonts w:cs="Arial"/>
          <w:szCs w:val="24"/>
        </w:rPr>
        <w:t>presentato in occasione della 73a assemblea Federalberghi</w:t>
      </w:r>
      <w:r w:rsidR="00523BB4" w:rsidRPr="001233B2">
        <w:rPr>
          <w:rFonts w:cs="Arial"/>
          <w:szCs w:val="24"/>
        </w:rPr>
        <w:t xml:space="preserve">, </w:t>
      </w:r>
      <w:r w:rsidRPr="001233B2">
        <w:rPr>
          <w:rFonts w:cs="Arial"/>
          <w:szCs w:val="24"/>
        </w:rPr>
        <w:t>che si svolge in questi giorni a Bergamo Brescia, Capitale Italiana della Cultura</w:t>
      </w:r>
      <w:r w:rsidR="0046682F" w:rsidRPr="001233B2">
        <w:rPr>
          <w:rFonts w:cs="Arial"/>
          <w:szCs w:val="24"/>
        </w:rPr>
        <w:t>.</w:t>
      </w:r>
    </w:p>
    <w:p w14:paraId="7761F88B" w14:textId="40FE678E" w:rsidR="0031359A" w:rsidRPr="001233B2" w:rsidRDefault="008576F7" w:rsidP="0031359A">
      <w:pPr>
        <w:spacing w:before="120"/>
        <w:ind w:firstLine="0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1233B2">
        <w:rPr>
          <w:rFonts w:cs="Arial"/>
          <w:szCs w:val="24"/>
        </w:rPr>
        <w:t xml:space="preserve">Abbiamo la responsabilità - afferma </w:t>
      </w:r>
      <w:r>
        <w:rPr>
          <w:rFonts w:cs="Arial"/>
          <w:szCs w:val="24"/>
        </w:rPr>
        <w:t xml:space="preserve">Bernabò Bocca, presidente di Federalberghi </w:t>
      </w:r>
      <w:r w:rsidRPr="001233B2">
        <w:rPr>
          <w:rFonts w:cs="Arial"/>
          <w:szCs w:val="24"/>
        </w:rPr>
        <w:t xml:space="preserve">- di </w:t>
      </w:r>
      <w:r w:rsidRPr="008576F7">
        <w:rPr>
          <w:rFonts w:cs="Arial"/>
          <w:b/>
          <w:bCs/>
          <w:szCs w:val="24"/>
        </w:rPr>
        <w:t>far capire quanto conta il turismo nel concreto della vita quotidiana di molte delle nostre comunità</w:t>
      </w:r>
      <w:r w:rsidRPr="001233B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1359A" w:rsidRPr="001233B2">
        <w:rPr>
          <w:rFonts w:cs="Arial"/>
          <w:szCs w:val="24"/>
        </w:rPr>
        <w:t>Lo studio che presentiamo è ricco di informazioni, di valutazioni sui meccanismi economici che sovrintendono all’economia dell’ospitalità, di stime dei flussi che non sono ancora registrati nelle statistiche ufficiali</w:t>
      </w:r>
      <w:r w:rsidR="0031359A">
        <w:rPr>
          <w:rFonts w:cs="Arial"/>
          <w:szCs w:val="24"/>
        </w:rPr>
        <w:t>”</w:t>
      </w:r>
      <w:r w:rsidR="0031359A" w:rsidRPr="001233B2">
        <w:rPr>
          <w:rFonts w:cs="Arial"/>
          <w:szCs w:val="24"/>
        </w:rPr>
        <w:t>.</w:t>
      </w:r>
    </w:p>
    <w:p w14:paraId="1353A877" w14:textId="355A0F7F" w:rsidR="00B04862" w:rsidRPr="001233B2" w:rsidRDefault="0046682F" w:rsidP="00B04862">
      <w:pPr>
        <w:spacing w:before="120"/>
        <w:ind w:firstLine="0"/>
        <w:rPr>
          <w:rFonts w:cs="Arial"/>
          <w:szCs w:val="24"/>
        </w:rPr>
      </w:pPr>
      <w:r w:rsidRPr="001233B2">
        <w:rPr>
          <w:rFonts w:cs="Arial"/>
          <w:szCs w:val="24"/>
        </w:rPr>
        <w:lastRenderedPageBreak/>
        <w:t>Lo studio</w:t>
      </w:r>
      <w:r w:rsidR="00B04862" w:rsidRPr="001233B2">
        <w:rPr>
          <w:rFonts w:cs="Arial"/>
          <w:szCs w:val="24"/>
        </w:rPr>
        <w:t>, realizzato da Sociometrica</w:t>
      </w:r>
      <w:r w:rsidR="0031359A">
        <w:rPr>
          <w:rFonts w:cs="Arial"/>
          <w:szCs w:val="24"/>
        </w:rPr>
        <w:t xml:space="preserve">, </w:t>
      </w:r>
      <w:r w:rsidR="00B04862" w:rsidRPr="001233B2">
        <w:rPr>
          <w:rFonts w:cs="Arial"/>
          <w:szCs w:val="24"/>
        </w:rPr>
        <w:t>mette a confronto due modelli</w:t>
      </w:r>
      <w:r w:rsidR="0031359A">
        <w:rPr>
          <w:rFonts w:cs="Arial"/>
          <w:szCs w:val="24"/>
        </w:rPr>
        <w:t>: i</w:t>
      </w:r>
      <w:r w:rsidR="00B04862" w:rsidRPr="001233B2">
        <w:rPr>
          <w:rFonts w:cs="Arial"/>
          <w:szCs w:val="24"/>
        </w:rPr>
        <w:t>l primo è fondato sull’ospitalità alberghiera, il secondo sulla commercializzazione delle case, con la modalità dei cosiddetti affitti brevi.</w:t>
      </w:r>
    </w:p>
    <w:p w14:paraId="45472599" w14:textId="4A030E1A" w:rsidR="00F17C6A" w:rsidRDefault="00F17C6A" w:rsidP="009B3605">
      <w:pPr>
        <w:spacing w:before="120"/>
        <w:ind w:firstLine="0"/>
        <w:rPr>
          <w:rFonts w:cs="Arial"/>
          <w:szCs w:val="24"/>
        </w:rPr>
      </w:pPr>
      <w:r w:rsidRPr="001233B2">
        <w:rPr>
          <w:rFonts w:cs="Arial"/>
          <w:szCs w:val="24"/>
        </w:rPr>
        <w:t xml:space="preserve">Entrambi i modelli hanno il fine di offrire ospitalità a chi pernotta in una destinazione turistica, ma le conseguenze economiche sono molto diverse, e talvolta opposte. </w:t>
      </w:r>
    </w:p>
    <w:p w14:paraId="1BA3743A" w14:textId="77777777" w:rsidR="0031359A" w:rsidRPr="001233B2" w:rsidRDefault="0031359A" w:rsidP="0031359A">
      <w:pPr>
        <w:spacing w:before="120"/>
        <w:ind w:firstLine="0"/>
        <w:rPr>
          <w:rFonts w:cs="Arial"/>
          <w:bCs/>
          <w:szCs w:val="24"/>
        </w:rPr>
      </w:pPr>
      <w:r w:rsidRPr="001233B2">
        <w:rPr>
          <w:rFonts w:cs="Arial"/>
          <w:bCs/>
          <w:szCs w:val="24"/>
        </w:rPr>
        <w:t xml:space="preserve">E infatti, secondo le stime di Sociometrica, </w:t>
      </w:r>
      <w:r w:rsidRPr="008576F7">
        <w:rPr>
          <w:rFonts w:cs="Arial"/>
          <w:b/>
          <w:szCs w:val="24"/>
        </w:rPr>
        <w:t>l’economia generata dalle presenze ufficiali copre un valore complessivo che riesce a finanziare oltre un milione di occupati</w:t>
      </w:r>
      <w:r w:rsidRPr="001233B2">
        <w:rPr>
          <w:rFonts w:cs="Arial"/>
          <w:bCs/>
          <w:szCs w:val="24"/>
        </w:rPr>
        <w:t>, mentre l’economia fondata sulle presenze non registrate genera appena 137 mila posti di lavoro.</w:t>
      </w:r>
    </w:p>
    <w:p w14:paraId="00EE3604" w14:textId="3481C263" w:rsidR="0031359A" w:rsidRPr="001233B2" w:rsidRDefault="0031359A" w:rsidP="0031359A">
      <w:pPr>
        <w:spacing w:before="120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Il maggior contributo che gli alberghi apportano alla crescita dell’occupazione è determinato </w:t>
      </w:r>
      <w:r w:rsidR="008576F7">
        <w:rPr>
          <w:rFonts w:cs="Arial"/>
          <w:szCs w:val="24"/>
        </w:rPr>
        <w:t xml:space="preserve">anche </w:t>
      </w:r>
      <w:r>
        <w:rPr>
          <w:rFonts w:cs="Arial"/>
          <w:szCs w:val="24"/>
        </w:rPr>
        <w:t xml:space="preserve">dalla presenza di </w:t>
      </w:r>
      <w:r w:rsidRPr="001233B2">
        <w:rPr>
          <w:rFonts w:cs="Arial"/>
          <w:szCs w:val="24"/>
        </w:rPr>
        <w:t>un’organizzazione aziendale complessa, con figure professionali di varia specializzazione e la capacità di creare e diffondere una molteplicità di interdipendenze economiche che producono occupazione e reddito. Questa capacità moltiplicativa è del tutto scarna nel caso degli affitti brevi, le cui operazioni, quasi sempre, si limitano alla consegna delle chiavi, alla pulizia finale delle camere e alla manutenzione ordinaria.</w:t>
      </w:r>
    </w:p>
    <w:p w14:paraId="1F7749E2" w14:textId="7D60469E" w:rsidR="00C80E8D" w:rsidRPr="001233B2" w:rsidRDefault="001233B2" w:rsidP="00C80E8D">
      <w:pPr>
        <w:spacing w:before="120"/>
        <w:ind w:firstLine="0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C80E8D" w:rsidRPr="008576F7">
        <w:rPr>
          <w:rFonts w:cs="Arial"/>
          <w:b/>
          <w:bCs/>
          <w:szCs w:val="24"/>
        </w:rPr>
        <w:t>L'albergo</w:t>
      </w:r>
      <w:r w:rsidR="00C80E8D" w:rsidRPr="001233B2">
        <w:rPr>
          <w:rFonts w:cs="Arial"/>
          <w:szCs w:val="24"/>
        </w:rPr>
        <w:t xml:space="preserve"> – commenta il presidente </w:t>
      </w:r>
      <w:r w:rsidR="0031359A">
        <w:rPr>
          <w:rFonts w:cs="Arial"/>
          <w:szCs w:val="24"/>
        </w:rPr>
        <w:t xml:space="preserve">degli albergatori </w:t>
      </w:r>
      <w:r w:rsidR="00C80E8D" w:rsidRPr="001233B2">
        <w:rPr>
          <w:rFonts w:cs="Arial"/>
          <w:szCs w:val="24"/>
        </w:rPr>
        <w:t xml:space="preserve">– </w:t>
      </w:r>
      <w:r w:rsidR="00C80E8D" w:rsidRPr="008576F7">
        <w:rPr>
          <w:rFonts w:cs="Arial"/>
          <w:b/>
          <w:bCs/>
          <w:szCs w:val="24"/>
        </w:rPr>
        <w:t>è il fulcro su cui gioca tutta la grande macchina dell'ospitalità</w:t>
      </w:r>
      <w:r w:rsidR="00C80E8D" w:rsidRPr="001233B2">
        <w:rPr>
          <w:rFonts w:cs="Arial"/>
          <w:szCs w:val="24"/>
        </w:rPr>
        <w:t>. Il suo valore non sta semplicemente nei suoi fatturati, nella sua economia in senso stretto, ma negli effetti espansivi che è in grado di diffondere sugli altri settori</w:t>
      </w:r>
      <w:r>
        <w:rPr>
          <w:rFonts w:cs="Arial"/>
          <w:szCs w:val="24"/>
        </w:rPr>
        <w:t>”</w:t>
      </w:r>
      <w:r w:rsidR="00C80E8D" w:rsidRPr="001233B2">
        <w:rPr>
          <w:rFonts w:cs="Arial"/>
          <w:szCs w:val="24"/>
        </w:rPr>
        <w:t>.</w:t>
      </w:r>
    </w:p>
    <w:p w14:paraId="53379E87" w14:textId="6119D9F3" w:rsidR="001233B2" w:rsidRPr="001233B2" w:rsidRDefault="001233B2" w:rsidP="00ED306B">
      <w:pPr>
        <w:spacing w:before="120"/>
        <w:ind w:firstLine="0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1233B2">
        <w:rPr>
          <w:rFonts w:cs="Arial"/>
          <w:szCs w:val="24"/>
        </w:rPr>
        <w:t>O</w:t>
      </w:r>
      <w:r w:rsidR="00ED306B" w:rsidRPr="001233B2">
        <w:rPr>
          <w:rFonts w:cs="Arial"/>
          <w:szCs w:val="24"/>
        </w:rPr>
        <w:t xml:space="preserve">ffriamo </w:t>
      </w:r>
      <w:r w:rsidRPr="001233B2">
        <w:rPr>
          <w:rFonts w:cs="Arial"/>
          <w:szCs w:val="24"/>
        </w:rPr>
        <w:t xml:space="preserve">questi dati </w:t>
      </w:r>
      <w:r w:rsidR="00ED306B" w:rsidRPr="001233B2">
        <w:rPr>
          <w:rFonts w:cs="Arial"/>
          <w:szCs w:val="24"/>
        </w:rPr>
        <w:t>alla riflessione dell’opinione pubblica</w:t>
      </w:r>
      <w:r w:rsidRPr="001233B2">
        <w:rPr>
          <w:rFonts w:cs="Arial"/>
          <w:szCs w:val="24"/>
        </w:rPr>
        <w:t xml:space="preserve"> </w:t>
      </w:r>
      <w:r w:rsidR="00EA3F27">
        <w:rPr>
          <w:rFonts w:cs="Arial"/>
          <w:szCs w:val="24"/>
        </w:rPr>
        <w:t xml:space="preserve">– conclude Bocca - </w:t>
      </w:r>
      <w:r w:rsidRPr="00EA3F27">
        <w:rPr>
          <w:rFonts w:cs="Arial"/>
          <w:b/>
          <w:bCs/>
          <w:szCs w:val="24"/>
        </w:rPr>
        <w:t>affinché venga riconosciuto il giusto valore ad un settore che ha attraversato momenti difficilissimi, ma che adesso vuole rialzarsi e superare ogni record</w:t>
      </w:r>
      <w:r>
        <w:rPr>
          <w:rFonts w:cs="Arial"/>
          <w:szCs w:val="24"/>
        </w:rPr>
        <w:t>”</w:t>
      </w:r>
      <w:r w:rsidRPr="001233B2">
        <w:rPr>
          <w:rFonts w:cs="Arial"/>
          <w:szCs w:val="24"/>
        </w:rPr>
        <w:t xml:space="preserve">. </w:t>
      </w:r>
    </w:p>
    <w:p w14:paraId="2A676026" w14:textId="77777777" w:rsidR="001233B2" w:rsidRDefault="001233B2" w:rsidP="00ED306B">
      <w:pPr>
        <w:spacing w:before="120"/>
        <w:ind w:firstLine="0"/>
        <w:rPr>
          <w:rFonts w:cs="Arial"/>
          <w:szCs w:val="24"/>
        </w:rPr>
      </w:pPr>
    </w:p>
    <w:p w14:paraId="5CF49FBA" w14:textId="3C25804C" w:rsidR="00A8689A" w:rsidRDefault="00CC6DD7" w:rsidP="00A8689A">
      <w:pPr>
        <w:spacing w:before="120"/>
        <w:ind w:firstLine="0"/>
        <w:jc w:val="center"/>
        <w:rPr>
          <w:rFonts w:cs="Arial"/>
          <w:b/>
          <w:bCs/>
          <w:szCs w:val="24"/>
        </w:rPr>
      </w:pPr>
      <w:r w:rsidRPr="00CC6DD7">
        <w:rPr>
          <w:rFonts w:cs="Arial"/>
          <w:b/>
          <w:bCs/>
          <w:szCs w:val="24"/>
        </w:rPr>
        <w:t>S</w:t>
      </w:r>
      <w:r w:rsidR="00A8689A" w:rsidRPr="00CC6DD7">
        <w:rPr>
          <w:rFonts w:cs="Arial"/>
          <w:b/>
          <w:bCs/>
          <w:szCs w:val="24"/>
        </w:rPr>
        <w:t>tima dell’impatto sull’occupazione</w:t>
      </w:r>
    </w:p>
    <w:p w14:paraId="3A582A52" w14:textId="77777777" w:rsidR="008C1FFB" w:rsidRDefault="008C1FFB" w:rsidP="00A8689A">
      <w:pPr>
        <w:spacing w:before="120"/>
        <w:ind w:firstLine="0"/>
        <w:jc w:val="center"/>
        <w:rPr>
          <w:rFonts w:cs="Arial"/>
          <w:szCs w:val="24"/>
        </w:rPr>
      </w:pPr>
    </w:p>
    <w:tbl>
      <w:tblPr>
        <w:tblW w:w="8071" w:type="dxa"/>
        <w:jc w:val="center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1276"/>
        <w:gridCol w:w="1417"/>
        <w:gridCol w:w="1135"/>
      </w:tblGrid>
      <w:tr w:rsidR="00CC6DD7" w:rsidRPr="00CC6DD7" w14:paraId="15AF4CAD" w14:textId="77777777" w:rsidTr="00CC6DD7">
        <w:trPr>
          <w:trHeight w:val="462"/>
          <w:jc w:val="center"/>
        </w:trPr>
        <w:tc>
          <w:tcPr>
            <w:tcW w:w="4243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C72A4" w14:textId="77777777" w:rsidR="00CC6DD7" w:rsidRPr="00CC6DD7" w:rsidRDefault="00CC6DD7" w:rsidP="00623399">
            <w:pPr>
              <w:pStyle w:val="Titolo2"/>
              <w:spacing w:before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bookmarkStart w:id="0" w:name="_Toc132376223"/>
            <w:bookmarkStart w:id="1" w:name="_Toc133401290"/>
            <w:r w:rsidRPr="00CC6D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Tipologia di soggiorno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vAlign w:val="center"/>
          </w:tcPr>
          <w:p w14:paraId="07A6C13E" w14:textId="77777777" w:rsidR="00CC6DD7" w:rsidRPr="00CC6DD7" w:rsidRDefault="00CC6DD7" w:rsidP="00CC6DD7">
            <w:pPr>
              <w:pStyle w:val="Titolo2"/>
              <w:spacing w:before="0"/>
              <w:ind w:right="-114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bookmarkStart w:id="2" w:name="_Toc132376224"/>
            <w:bookmarkStart w:id="3" w:name="_Toc133401291"/>
            <w:r w:rsidRPr="00CC6D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Numero occupati (equivalenti)</w:t>
            </w:r>
            <w:bookmarkEnd w:id="2"/>
            <w:bookmarkEnd w:id="3"/>
          </w:p>
        </w:tc>
        <w:tc>
          <w:tcPr>
            <w:tcW w:w="141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vAlign w:val="center"/>
          </w:tcPr>
          <w:p w14:paraId="23501BD3" w14:textId="0801EC8F" w:rsidR="00CC6DD7" w:rsidRPr="00CC6DD7" w:rsidRDefault="00CC6DD7" w:rsidP="00CC6DD7">
            <w:pPr>
              <w:pStyle w:val="Titolo2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bookmarkStart w:id="4" w:name="_Toc132376225"/>
            <w:bookmarkStart w:id="5" w:name="_Toc133401292"/>
            <w:r w:rsidRPr="00CC6D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 numero occupati (equivalenti)</w:t>
            </w:r>
            <w:bookmarkEnd w:id="4"/>
            <w:bookmarkEnd w:id="5"/>
          </w:p>
        </w:tc>
        <w:tc>
          <w:tcPr>
            <w:tcW w:w="113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vAlign w:val="center"/>
          </w:tcPr>
          <w:p w14:paraId="53483F40" w14:textId="5D4E7D79" w:rsidR="00CC6DD7" w:rsidRPr="00CC6DD7" w:rsidRDefault="00CC6DD7" w:rsidP="00CC6DD7">
            <w:pPr>
              <w:pStyle w:val="Titolo2"/>
              <w:spacing w:before="0"/>
              <w:ind w:hanging="11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bookmarkStart w:id="6" w:name="_Toc132376226"/>
            <w:bookmarkStart w:id="7" w:name="_Toc133401293"/>
            <w:r w:rsidRPr="00CC6D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 presenze turistiche</w:t>
            </w:r>
            <w:bookmarkEnd w:id="6"/>
            <w:bookmarkEnd w:id="7"/>
          </w:p>
        </w:tc>
      </w:tr>
      <w:tr w:rsidR="00CC6DD7" w:rsidRPr="00CC6DD7" w14:paraId="333B9EC6" w14:textId="77777777" w:rsidTr="00CC6DD7">
        <w:trPr>
          <w:trHeight w:val="115"/>
          <w:jc w:val="center"/>
        </w:trPr>
        <w:tc>
          <w:tcPr>
            <w:tcW w:w="4243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D34D6" w14:textId="77777777" w:rsidR="00CC6DD7" w:rsidRPr="00CC6DD7" w:rsidRDefault="00CC6DD7" w:rsidP="00CC6DD7">
            <w:pPr>
              <w:ind w:firstLine="37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Settore turistico “non osservato”</w:t>
            </w:r>
          </w:p>
        </w:tc>
        <w:tc>
          <w:tcPr>
            <w:tcW w:w="12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vAlign w:val="center"/>
          </w:tcPr>
          <w:p w14:paraId="58809AC1" w14:textId="77777777" w:rsidR="00CC6DD7" w:rsidRPr="00CC6DD7" w:rsidRDefault="00CC6DD7" w:rsidP="00CC6DD7">
            <w:pPr>
              <w:ind w:right="-114" w:firstLine="0"/>
              <w:jc w:val="center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137.468</w:t>
            </w:r>
          </w:p>
        </w:tc>
        <w:tc>
          <w:tcPr>
            <w:tcW w:w="141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vAlign w:val="center"/>
          </w:tcPr>
          <w:p w14:paraId="58BDD3FA" w14:textId="77777777" w:rsidR="00CC6DD7" w:rsidRPr="00CC6DD7" w:rsidRDefault="00CC6DD7" w:rsidP="00CC6DD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11,9%</w:t>
            </w:r>
          </w:p>
        </w:tc>
        <w:tc>
          <w:tcPr>
            <w:tcW w:w="113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vAlign w:val="center"/>
          </w:tcPr>
          <w:p w14:paraId="0579F86A" w14:textId="77777777" w:rsidR="00CC6DD7" w:rsidRPr="00CC6DD7" w:rsidRDefault="00CC6DD7" w:rsidP="00CC6DD7">
            <w:pPr>
              <w:ind w:hanging="110"/>
              <w:jc w:val="center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23,6%</w:t>
            </w:r>
          </w:p>
        </w:tc>
      </w:tr>
      <w:tr w:rsidR="00CC6DD7" w:rsidRPr="00CC6DD7" w14:paraId="7392094B" w14:textId="77777777" w:rsidTr="00CC6DD7">
        <w:trPr>
          <w:trHeight w:val="208"/>
          <w:jc w:val="center"/>
        </w:trPr>
        <w:tc>
          <w:tcPr>
            <w:tcW w:w="4243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6E87A" w14:textId="77777777" w:rsidR="00CC6DD7" w:rsidRPr="00CC6DD7" w:rsidRDefault="00CC6DD7" w:rsidP="00CC6DD7">
            <w:pPr>
              <w:ind w:firstLine="37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Settore turistico “ufficiale” alberghiero ed extra-alberghiero</w:t>
            </w:r>
          </w:p>
        </w:tc>
        <w:tc>
          <w:tcPr>
            <w:tcW w:w="12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vAlign w:val="center"/>
          </w:tcPr>
          <w:p w14:paraId="68513BED" w14:textId="77777777" w:rsidR="00CC6DD7" w:rsidRPr="00CC6DD7" w:rsidRDefault="00CC6DD7" w:rsidP="00CC6DD7">
            <w:pPr>
              <w:ind w:right="-114" w:firstLine="0"/>
              <w:jc w:val="center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1.018.701</w:t>
            </w:r>
          </w:p>
        </w:tc>
        <w:tc>
          <w:tcPr>
            <w:tcW w:w="141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vAlign w:val="center"/>
          </w:tcPr>
          <w:p w14:paraId="0F74E85D" w14:textId="77777777" w:rsidR="00CC6DD7" w:rsidRPr="00CC6DD7" w:rsidRDefault="00CC6DD7" w:rsidP="00CC6DD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88,1%</w:t>
            </w:r>
          </w:p>
        </w:tc>
        <w:tc>
          <w:tcPr>
            <w:tcW w:w="113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vAlign w:val="center"/>
          </w:tcPr>
          <w:p w14:paraId="1302F587" w14:textId="77777777" w:rsidR="00CC6DD7" w:rsidRPr="00CC6DD7" w:rsidRDefault="00CC6DD7" w:rsidP="00CC6DD7">
            <w:pPr>
              <w:ind w:hanging="110"/>
              <w:jc w:val="center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76,4%</w:t>
            </w:r>
          </w:p>
        </w:tc>
      </w:tr>
      <w:tr w:rsidR="00CC6DD7" w:rsidRPr="00CC6DD7" w14:paraId="68C4E75A" w14:textId="77777777" w:rsidTr="00CC6DD7">
        <w:trPr>
          <w:trHeight w:val="203"/>
          <w:jc w:val="center"/>
        </w:trPr>
        <w:tc>
          <w:tcPr>
            <w:tcW w:w="4243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B6680" w14:textId="77777777" w:rsidR="00CC6DD7" w:rsidRPr="00CC6DD7" w:rsidRDefault="00CC6DD7" w:rsidP="00CC6DD7">
            <w:pPr>
              <w:ind w:firstLine="37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Totale spesa per consumi turistici</w:t>
            </w:r>
          </w:p>
        </w:tc>
        <w:tc>
          <w:tcPr>
            <w:tcW w:w="1276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vAlign w:val="center"/>
          </w:tcPr>
          <w:p w14:paraId="4D1817D6" w14:textId="77777777" w:rsidR="00CC6DD7" w:rsidRPr="00CC6DD7" w:rsidRDefault="00CC6DD7" w:rsidP="00CC6DD7">
            <w:pPr>
              <w:ind w:right="-114" w:firstLine="0"/>
              <w:jc w:val="center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1.156.169</w:t>
            </w:r>
          </w:p>
        </w:tc>
        <w:tc>
          <w:tcPr>
            <w:tcW w:w="1417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vAlign w:val="center"/>
          </w:tcPr>
          <w:p w14:paraId="305756B1" w14:textId="77777777" w:rsidR="00CC6DD7" w:rsidRPr="00CC6DD7" w:rsidRDefault="00CC6DD7" w:rsidP="00CC6DD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100,0%</w:t>
            </w:r>
          </w:p>
        </w:tc>
        <w:tc>
          <w:tcPr>
            <w:tcW w:w="113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vAlign w:val="center"/>
          </w:tcPr>
          <w:p w14:paraId="21A597FF" w14:textId="77777777" w:rsidR="00CC6DD7" w:rsidRPr="00CC6DD7" w:rsidRDefault="00CC6DD7" w:rsidP="00CC6DD7">
            <w:pPr>
              <w:ind w:hanging="110"/>
              <w:jc w:val="center"/>
              <w:rPr>
                <w:rFonts w:cs="Arial"/>
                <w:sz w:val="18"/>
                <w:szCs w:val="18"/>
              </w:rPr>
            </w:pPr>
            <w:r w:rsidRPr="00CC6DD7">
              <w:rPr>
                <w:rFonts w:cs="Arial"/>
                <w:sz w:val="18"/>
                <w:szCs w:val="18"/>
              </w:rPr>
              <w:t>100,0%</w:t>
            </w:r>
          </w:p>
        </w:tc>
      </w:tr>
    </w:tbl>
    <w:p w14:paraId="4347C4A7" w14:textId="77777777" w:rsidR="008F641C" w:rsidRPr="008F641C" w:rsidRDefault="008F641C" w:rsidP="008F641C">
      <w:pPr>
        <w:spacing w:before="120"/>
        <w:ind w:left="993" w:firstLine="0"/>
        <w:rPr>
          <w:rFonts w:cs="Arial"/>
          <w:bCs/>
          <w:i/>
          <w:iCs/>
          <w:sz w:val="18"/>
          <w:szCs w:val="18"/>
        </w:rPr>
      </w:pPr>
      <w:r w:rsidRPr="008F641C">
        <w:rPr>
          <w:rFonts w:cs="Arial"/>
          <w:bCs/>
          <w:i/>
          <w:iCs/>
          <w:sz w:val="18"/>
          <w:szCs w:val="18"/>
        </w:rPr>
        <w:t>Fonte: Sociometrica, 2023</w:t>
      </w:r>
    </w:p>
    <w:p w14:paraId="36A6BCD8" w14:textId="77777777" w:rsidR="008F641C" w:rsidRDefault="008F641C" w:rsidP="009B3605">
      <w:pPr>
        <w:spacing w:before="120"/>
        <w:ind w:firstLine="0"/>
        <w:rPr>
          <w:rFonts w:cs="Arial"/>
          <w:bCs/>
          <w:i/>
          <w:iCs/>
          <w:szCs w:val="24"/>
        </w:rPr>
      </w:pPr>
    </w:p>
    <w:p w14:paraId="522BE4FD" w14:textId="1735FA8C" w:rsidR="00C80E8D" w:rsidRPr="001233B2" w:rsidRDefault="00C80E8D" w:rsidP="009B3605">
      <w:pPr>
        <w:spacing w:before="120"/>
        <w:ind w:firstLine="0"/>
        <w:rPr>
          <w:rFonts w:cs="Arial"/>
          <w:bCs/>
          <w:i/>
          <w:iCs/>
          <w:szCs w:val="24"/>
        </w:rPr>
      </w:pPr>
      <w:r w:rsidRPr="001233B2">
        <w:rPr>
          <w:rFonts w:cs="Arial"/>
          <w:bCs/>
          <w:i/>
          <w:iCs/>
          <w:szCs w:val="24"/>
        </w:rPr>
        <w:t>Il testo integrale dello studio “Alberghi e affitti brevi – modelli di sviluppo locale a confronto”, realizzato da Sociometrica in collaborazione con il CFMT (Centro di Formazione Management del Terziario), è disponibile sul sito www.federalberghi.it.</w:t>
      </w:r>
    </w:p>
    <w:sectPr w:rsidR="00C80E8D" w:rsidRPr="001233B2" w:rsidSect="00970CDB">
      <w:head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F234" w14:textId="77777777" w:rsidR="00ED1F07" w:rsidRDefault="00ED1F07" w:rsidP="00771A7A">
      <w:r>
        <w:separator/>
      </w:r>
    </w:p>
  </w:endnote>
  <w:endnote w:type="continuationSeparator" w:id="0">
    <w:p w14:paraId="7B7ACF4A" w14:textId="77777777" w:rsidR="00ED1F07" w:rsidRDefault="00ED1F07" w:rsidP="00771A7A">
      <w:r>
        <w:continuationSeparator/>
      </w:r>
    </w:p>
  </w:endnote>
  <w:endnote w:type="continuationNotice" w:id="1">
    <w:p w14:paraId="1269431F" w14:textId="77777777" w:rsidR="00ED1F07" w:rsidRDefault="00ED1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083C" w14:textId="77777777" w:rsidR="0090226A" w:rsidRDefault="0090226A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90226A" w:rsidRPr="00771A7A" w:rsidRDefault="0090226A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3FE6" w14:textId="77777777" w:rsidR="00ED1F07" w:rsidRDefault="00ED1F07" w:rsidP="00771A7A">
      <w:r>
        <w:separator/>
      </w:r>
    </w:p>
  </w:footnote>
  <w:footnote w:type="continuationSeparator" w:id="0">
    <w:p w14:paraId="5F32709E" w14:textId="77777777" w:rsidR="00ED1F07" w:rsidRDefault="00ED1F07" w:rsidP="00771A7A">
      <w:r>
        <w:continuationSeparator/>
      </w:r>
    </w:p>
  </w:footnote>
  <w:footnote w:type="continuationNotice" w:id="1">
    <w:p w14:paraId="72CDE15E" w14:textId="77777777" w:rsidR="00ED1F07" w:rsidRDefault="00ED1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3AD4" w14:textId="77777777" w:rsidR="0090226A" w:rsidRPr="00AF7609" w:rsidRDefault="0090226A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0B35" w14:textId="71DAD3A7" w:rsidR="001C1626" w:rsidRPr="008B4031" w:rsidRDefault="00637F99" w:rsidP="001C1626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2DDB184" wp14:editId="1CE0E455">
          <wp:simplePos x="0" y="0"/>
          <wp:positionH relativeFrom="column">
            <wp:posOffset>3832860</wp:posOffset>
          </wp:positionH>
          <wp:positionV relativeFrom="page">
            <wp:posOffset>558800</wp:posOffset>
          </wp:positionV>
          <wp:extent cx="1174750" cy="1439545"/>
          <wp:effectExtent l="0" t="0" r="6350" b="8255"/>
          <wp:wrapTopAndBottom/>
          <wp:docPr id="681717994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717994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637213D" wp14:editId="2BDEEA85">
          <wp:simplePos x="0" y="0"/>
          <wp:positionH relativeFrom="margin">
            <wp:posOffset>1187450</wp:posOffset>
          </wp:positionH>
          <wp:positionV relativeFrom="paragraph">
            <wp:posOffset>111760</wp:posOffset>
          </wp:positionV>
          <wp:extent cx="1187450" cy="1439545"/>
          <wp:effectExtent l="0" t="0" r="0" b="8255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744F7C" w14:textId="09FD9AA9" w:rsidR="0090226A" w:rsidRPr="008B4031" w:rsidRDefault="0090226A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</w:r>
    <w:r w:rsidR="00370299">
      <w:rPr>
        <w:rFonts w:ascii="Arial" w:hAnsi="Arial" w:cs="Arial"/>
        <w:sz w:val="24"/>
      </w:rPr>
      <w:t>Bergamo</w:t>
    </w:r>
    <w:r w:rsidRPr="008B4031">
      <w:rPr>
        <w:rFonts w:ascii="Arial" w:hAnsi="Arial" w:cs="Arial"/>
        <w:sz w:val="24"/>
      </w:rPr>
      <w:t xml:space="preserve">, </w:t>
    </w:r>
    <w:r w:rsidR="00370299" w:rsidRPr="001912E5">
      <w:rPr>
        <w:rFonts w:ascii="Arial" w:hAnsi="Arial" w:cs="Arial"/>
        <w:sz w:val="24"/>
      </w:rPr>
      <w:t>1</w:t>
    </w:r>
    <w:r w:rsidR="008576F7" w:rsidRPr="001912E5">
      <w:rPr>
        <w:rFonts w:ascii="Arial" w:hAnsi="Arial" w:cs="Arial"/>
        <w:sz w:val="24"/>
      </w:rPr>
      <w:t>2</w:t>
    </w:r>
    <w:r w:rsidR="006657CD">
      <w:rPr>
        <w:rFonts w:ascii="Arial" w:hAnsi="Arial" w:cs="Arial"/>
        <w:sz w:val="24"/>
      </w:rPr>
      <w:t xml:space="preserve"> </w:t>
    </w:r>
    <w:r w:rsidR="00370299">
      <w:rPr>
        <w:rFonts w:ascii="Arial" w:hAnsi="Arial" w:cs="Arial"/>
        <w:sz w:val="24"/>
      </w:rPr>
      <w:t>maggio</w:t>
    </w:r>
    <w:r>
      <w:rPr>
        <w:rFonts w:ascii="Arial" w:hAnsi="Arial" w:cs="Arial"/>
        <w:sz w:val="24"/>
      </w:rPr>
      <w:t xml:space="preserve"> 20</w:t>
    </w:r>
    <w:r w:rsidR="00531747">
      <w:rPr>
        <w:rFonts w:ascii="Arial" w:hAnsi="Arial" w:cs="Arial"/>
        <w:sz w:val="24"/>
      </w:rPr>
      <w:t>2</w:t>
    </w:r>
    <w:r w:rsidR="00B42937">
      <w:rPr>
        <w:rFonts w:ascii="Arial" w:hAnsi="Arial" w:cs="Arial"/>
        <w:sz w:val="24"/>
      </w:rPr>
      <w:t>3</w:t>
    </w:r>
  </w:p>
  <w:p w14:paraId="551A21E3" w14:textId="77777777" w:rsidR="0090226A" w:rsidRPr="007F38C0" w:rsidRDefault="0090226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14:paraId="6692D322" w14:textId="44545D57" w:rsidR="0090226A" w:rsidRPr="00B84369" w:rsidRDefault="0090226A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558573C" w:rsidR="0090226A" w:rsidRDefault="0090226A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  <w:p w14:paraId="79190BAF" w14:textId="77777777" w:rsidR="00FB11AD" w:rsidRDefault="00FB11AD" w:rsidP="00FB11AD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  <w:r w:rsidRPr="00C06907">
      <w:rPr>
        <w:rFonts w:ascii="Arial" w:hAnsi="Arial" w:cs="Arial"/>
        <w:b/>
        <w:sz w:val="24"/>
        <w:szCs w:val="24"/>
      </w:rPr>
      <w:t xml:space="preserve">HOTEL E AFFITTI BREVI, DUE MODELLI DI TURISMO A CONFRONTO </w:t>
    </w:r>
  </w:p>
  <w:p w14:paraId="50E232A2" w14:textId="77777777" w:rsidR="00FB11AD" w:rsidRPr="00C06907" w:rsidRDefault="00FB11AD" w:rsidP="00FB11AD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  <w:r w:rsidRPr="00C06907">
      <w:rPr>
        <w:rFonts w:ascii="Arial" w:hAnsi="Arial" w:cs="Arial"/>
        <w:b/>
        <w:sz w:val="24"/>
        <w:szCs w:val="24"/>
      </w:rPr>
      <w:t>NELLO STUDIO REALIZZATO PER FEDERALBERGHI</w:t>
    </w:r>
  </w:p>
  <w:p w14:paraId="10BD46A6" w14:textId="77777777" w:rsidR="00FB11AD" w:rsidRDefault="00FB11AD" w:rsidP="00FB11AD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  <w:r w:rsidRPr="00C06907">
      <w:rPr>
        <w:rFonts w:ascii="Arial" w:hAnsi="Arial" w:cs="Arial"/>
        <w:b/>
        <w:sz w:val="24"/>
        <w:szCs w:val="24"/>
      </w:rPr>
      <w:t>BOCCA: LA NOSTRA E’ UNA MACCHINA COMPLESSA. IL PIANETA ALBERGO</w:t>
    </w:r>
  </w:p>
  <w:p w14:paraId="484C00F5" w14:textId="77777777" w:rsidR="00FB11AD" w:rsidRDefault="00FB11AD" w:rsidP="00FB11AD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 ASSIST PER L’OCCUPAZIONE</w:t>
    </w:r>
  </w:p>
  <w:p w14:paraId="68690C92" w14:textId="77777777" w:rsidR="0031359A" w:rsidRDefault="0031359A">
    <w:pPr>
      <w:pStyle w:val="Intestazione"/>
      <w:spacing w:after="12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7C3"/>
    <w:multiLevelType w:val="hybridMultilevel"/>
    <w:tmpl w:val="E62E1690"/>
    <w:lvl w:ilvl="0" w:tplc="0410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 w16cid:durableId="145825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sDA2NbQwMLK0MLJU0lEKTi0uzszPAykwNKsFAMPddcMtAAAA"/>
  </w:docVars>
  <w:rsids>
    <w:rsidRoot w:val="00D7254E"/>
    <w:rsid w:val="00003A91"/>
    <w:rsid w:val="00011F3C"/>
    <w:rsid w:val="00015215"/>
    <w:rsid w:val="00024694"/>
    <w:rsid w:val="00024E9F"/>
    <w:rsid w:val="0003010A"/>
    <w:rsid w:val="00031833"/>
    <w:rsid w:val="0003194F"/>
    <w:rsid w:val="00034D71"/>
    <w:rsid w:val="00037DFB"/>
    <w:rsid w:val="0004377D"/>
    <w:rsid w:val="0004391B"/>
    <w:rsid w:val="0005621B"/>
    <w:rsid w:val="00057333"/>
    <w:rsid w:val="000615A8"/>
    <w:rsid w:val="00083F36"/>
    <w:rsid w:val="000857C7"/>
    <w:rsid w:val="000861D9"/>
    <w:rsid w:val="000867C7"/>
    <w:rsid w:val="00092EB6"/>
    <w:rsid w:val="000A5BD3"/>
    <w:rsid w:val="000B6621"/>
    <w:rsid w:val="000C5AF5"/>
    <w:rsid w:val="000D4B8E"/>
    <w:rsid w:val="000F41C9"/>
    <w:rsid w:val="00100D63"/>
    <w:rsid w:val="00110866"/>
    <w:rsid w:val="00111E2E"/>
    <w:rsid w:val="00112C6B"/>
    <w:rsid w:val="00115B4A"/>
    <w:rsid w:val="001213E9"/>
    <w:rsid w:val="00122D7E"/>
    <w:rsid w:val="00123008"/>
    <w:rsid w:val="001233B2"/>
    <w:rsid w:val="00123DF6"/>
    <w:rsid w:val="00134EB7"/>
    <w:rsid w:val="00136366"/>
    <w:rsid w:val="001421A1"/>
    <w:rsid w:val="00143A7B"/>
    <w:rsid w:val="00146B70"/>
    <w:rsid w:val="0014789B"/>
    <w:rsid w:val="0016001E"/>
    <w:rsid w:val="00160583"/>
    <w:rsid w:val="001610B1"/>
    <w:rsid w:val="00161ED3"/>
    <w:rsid w:val="00162E45"/>
    <w:rsid w:val="0016770C"/>
    <w:rsid w:val="001713E1"/>
    <w:rsid w:val="001912E5"/>
    <w:rsid w:val="001935A9"/>
    <w:rsid w:val="00194570"/>
    <w:rsid w:val="00195476"/>
    <w:rsid w:val="001A1F67"/>
    <w:rsid w:val="001A54B6"/>
    <w:rsid w:val="001B27CB"/>
    <w:rsid w:val="001B2E4F"/>
    <w:rsid w:val="001B3451"/>
    <w:rsid w:val="001B5FC1"/>
    <w:rsid w:val="001C05C7"/>
    <w:rsid w:val="001C1626"/>
    <w:rsid w:val="001C19E9"/>
    <w:rsid w:val="001C6503"/>
    <w:rsid w:val="001C7A83"/>
    <w:rsid w:val="001D34E3"/>
    <w:rsid w:val="001D6870"/>
    <w:rsid w:val="001E0B49"/>
    <w:rsid w:val="001E6D83"/>
    <w:rsid w:val="00204921"/>
    <w:rsid w:val="00210BF9"/>
    <w:rsid w:val="00216BB1"/>
    <w:rsid w:val="00217C39"/>
    <w:rsid w:val="00225651"/>
    <w:rsid w:val="00232927"/>
    <w:rsid w:val="00234E34"/>
    <w:rsid w:val="00236FD6"/>
    <w:rsid w:val="00240D9A"/>
    <w:rsid w:val="00241520"/>
    <w:rsid w:val="0026050D"/>
    <w:rsid w:val="0026457A"/>
    <w:rsid w:val="002717E6"/>
    <w:rsid w:val="00271F44"/>
    <w:rsid w:val="00280B0E"/>
    <w:rsid w:val="0028649D"/>
    <w:rsid w:val="00296D70"/>
    <w:rsid w:val="002971D6"/>
    <w:rsid w:val="002A0E1A"/>
    <w:rsid w:val="002A1621"/>
    <w:rsid w:val="002A5179"/>
    <w:rsid w:val="002B089F"/>
    <w:rsid w:val="002B2A7C"/>
    <w:rsid w:val="002B390E"/>
    <w:rsid w:val="002B77A7"/>
    <w:rsid w:val="002C022E"/>
    <w:rsid w:val="002C3B4A"/>
    <w:rsid w:val="002C6ABE"/>
    <w:rsid w:val="002C75DD"/>
    <w:rsid w:val="002D3AF4"/>
    <w:rsid w:val="002D6250"/>
    <w:rsid w:val="002E33AD"/>
    <w:rsid w:val="002F44DE"/>
    <w:rsid w:val="0030216A"/>
    <w:rsid w:val="00304037"/>
    <w:rsid w:val="003063B2"/>
    <w:rsid w:val="00307E46"/>
    <w:rsid w:val="00312835"/>
    <w:rsid w:val="0031359A"/>
    <w:rsid w:val="00315368"/>
    <w:rsid w:val="003179CB"/>
    <w:rsid w:val="0033269D"/>
    <w:rsid w:val="003537D5"/>
    <w:rsid w:val="003560FE"/>
    <w:rsid w:val="003615B5"/>
    <w:rsid w:val="00362077"/>
    <w:rsid w:val="003626E9"/>
    <w:rsid w:val="00370299"/>
    <w:rsid w:val="00376F1E"/>
    <w:rsid w:val="00377DDC"/>
    <w:rsid w:val="00380821"/>
    <w:rsid w:val="003849C9"/>
    <w:rsid w:val="00385DD6"/>
    <w:rsid w:val="00390DBB"/>
    <w:rsid w:val="003938BD"/>
    <w:rsid w:val="003952D9"/>
    <w:rsid w:val="00397B3C"/>
    <w:rsid w:val="003A1967"/>
    <w:rsid w:val="003A452A"/>
    <w:rsid w:val="003B041C"/>
    <w:rsid w:val="003B3D17"/>
    <w:rsid w:val="003B6AA6"/>
    <w:rsid w:val="003B79CD"/>
    <w:rsid w:val="003C1F39"/>
    <w:rsid w:val="003C2156"/>
    <w:rsid w:val="003C3A03"/>
    <w:rsid w:val="003E088D"/>
    <w:rsid w:val="003E133E"/>
    <w:rsid w:val="003E299C"/>
    <w:rsid w:val="003F0B06"/>
    <w:rsid w:val="003F1C7A"/>
    <w:rsid w:val="003F2291"/>
    <w:rsid w:val="003F5326"/>
    <w:rsid w:val="00407141"/>
    <w:rsid w:val="00420E2A"/>
    <w:rsid w:val="00425592"/>
    <w:rsid w:val="00441865"/>
    <w:rsid w:val="00442D5A"/>
    <w:rsid w:val="004441A5"/>
    <w:rsid w:val="00450FC6"/>
    <w:rsid w:val="0045341A"/>
    <w:rsid w:val="00454FA1"/>
    <w:rsid w:val="00456DD9"/>
    <w:rsid w:val="00460176"/>
    <w:rsid w:val="00460E6C"/>
    <w:rsid w:val="004653DC"/>
    <w:rsid w:val="0046682F"/>
    <w:rsid w:val="00470812"/>
    <w:rsid w:val="0047622D"/>
    <w:rsid w:val="004772F1"/>
    <w:rsid w:val="0048174C"/>
    <w:rsid w:val="00482219"/>
    <w:rsid w:val="004822C3"/>
    <w:rsid w:val="00483E84"/>
    <w:rsid w:val="00486BF9"/>
    <w:rsid w:val="00492E29"/>
    <w:rsid w:val="004A19D5"/>
    <w:rsid w:val="004A23D1"/>
    <w:rsid w:val="004A6B87"/>
    <w:rsid w:val="004A72C6"/>
    <w:rsid w:val="004B44A6"/>
    <w:rsid w:val="004C0623"/>
    <w:rsid w:val="004C17D4"/>
    <w:rsid w:val="004C4D82"/>
    <w:rsid w:val="004C5906"/>
    <w:rsid w:val="004C7DF7"/>
    <w:rsid w:val="004D3524"/>
    <w:rsid w:val="004D5A52"/>
    <w:rsid w:val="004D740C"/>
    <w:rsid w:val="004E3382"/>
    <w:rsid w:val="004E4B6D"/>
    <w:rsid w:val="0050544B"/>
    <w:rsid w:val="00505E20"/>
    <w:rsid w:val="005061E1"/>
    <w:rsid w:val="00507830"/>
    <w:rsid w:val="0051106B"/>
    <w:rsid w:val="005118E4"/>
    <w:rsid w:val="00513AEA"/>
    <w:rsid w:val="00513E94"/>
    <w:rsid w:val="005222D2"/>
    <w:rsid w:val="00523BB4"/>
    <w:rsid w:val="005263CB"/>
    <w:rsid w:val="00527292"/>
    <w:rsid w:val="00531747"/>
    <w:rsid w:val="005332A8"/>
    <w:rsid w:val="00540844"/>
    <w:rsid w:val="0054144C"/>
    <w:rsid w:val="005441E9"/>
    <w:rsid w:val="00550CC5"/>
    <w:rsid w:val="00551A8C"/>
    <w:rsid w:val="0055238D"/>
    <w:rsid w:val="00552EA5"/>
    <w:rsid w:val="00556627"/>
    <w:rsid w:val="00557596"/>
    <w:rsid w:val="00571998"/>
    <w:rsid w:val="00574CA5"/>
    <w:rsid w:val="005845CE"/>
    <w:rsid w:val="00586491"/>
    <w:rsid w:val="005900CC"/>
    <w:rsid w:val="0059068B"/>
    <w:rsid w:val="00590E4E"/>
    <w:rsid w:val="005915CB"/>
    <w:rsid w:val="00594F9B"/>
    <w:rsid w:val="00597A34"/>
    <w:rsid w:val="005A07C9"/>
    <w:rsid w:val="005A10FA"/>
    <w:rsid w:val="005B1099"/>
    <w:rsid w:val="005B63E6"/>
    <w:rsid w:val="005B78BC"/>
    <w:rsid w:val="005C29BA"/>
    <w:rsid w:val="005C3E98"/>
    <w:rsid w:val="005D30BE"/>
    <w:rsid w:val="005D7953"/>
    <w:rsid w:val="005E09D6"/>
    <w:rsid w:val="005E776A"/>
    <w:rsid w:val="005F0936"/>
    <w:rsid w:val="005F3E3E"/>
    <w:rsid w:val="005F402A"/>
    <w:rsid w:val="005F5E4F"/>
    <w:rsid w:val="00600C87"/>
    <w:rsid w:val="00605E88"/>
    <w:rsid w:val="00612779"/>
    <w:rsid w:val="00622467"/>
    <w:rsid w:val="00626513"/>
    <w:rsid w:val="0062687F"/>
    <w:rsid w:val="00634028"/>
    <w:rsid w:val="00637E5A"/>
    <w:rsid w:val="00637F99"/>
    <w:rsid w:val="00642F3B"/>
    <w:rsid w:val="006447AF"/>
    <w:rsid w:val="00651572"/>
    <w:rsid w:val="00654529"/>
    <w:rsid w:val="00655AD0"/>
    <w:rsid w:val="006657CD"/>
    <w:rsid w:val="00666DA1"/>
    <w:rsid w:val="00667336"/>
    <w:rsid w:val="006744F4"/>
    <w:rsid w:val="0068748F"/>
    <w:rsid w:val="00687922"/>
    <w:rsid w:val="00694523"/>
    <w:rsid w:val="0069569D"/>
    <w:rsid w:val="006A360F"/>
    <w:rsid w:val="006A4A4D"/>
    <w:rsid w:val="006A4CEE"/>
    <w:rsid w:val="006C309E"/>
    <w:rsid w:val="006C62FA"/>
    <w:rsid w:val="006C6EE3"/>
    <w:rsid w:val="006C7555"/>
    <w:rsid w:val="006C7A76"/>
    <w:rsid w:val="006D4FC1"/>
    <w:rsid w:val="006D51C8"/>
    <w:rsid w:val="006D63B9"/>
    <w:rsid w:val="006E49E6"/>
    <w:rsid w:val="006E61F7"/>
    <w:rsid w:val="006E6305"/>
    <w:rsid w:val="006F064E"/>
    <w:rsid w:val="00700646"/>
    <w:rsid w:val="007029EE"/>
    <w:rsid w:val="00710AE2"/>
    <w:rsid w:val="00715CFF"/>
    <w:rsid w:val="00720DA8"/>
    <w:rsid w:val="0072162C"/>
    <w:rsid w:val="00726FEA"/>
    <w:rsid w:val="007270E8"/>
    <w:rsid w:val="00732AFD"/>
    <w:rsid w:val="007423CE"/>
    <w:rsid w:val="00742D39"/>
    <w:rsid w:val="00742DDA"/>
    <w:rsid w:val="00745D4D"/>
    <w:rsid w:val="00746AE6"/>
    <w:rsid w:val="0075280B"/>
    <w:rsid w:val="007661B8"/>
    <w:rsid w:val="00766A3F"/>
    <w:rsid w:val="00771A7A"/>
    <w:rsid w:val="00782146"/>
    <w:rsid w:val="00782E68"/>
    <w:rsid w:val="007912A8"/>
    <w:rsid w:val="00796E0D"/>
    <w:rsid w:val="007A0237"/>
    <w:rsid w:val="007A35B9"/>
    <w:rsid w:val="007A4938"/>
    <w:rsid w:val="007A6112"/>
    <w:rsid w:val="007B2109"/>
    <w:rsid w:val="007B3D94"/>
    <w:rsid w:val="007B3FEF"/>
    <w:rsid w:val="007D4530"/>
    <w:rsid w:val="007E36E3"/>
    <w:rsid w:val="007F3731"/>
    <w:rsid w:val="007F38C0"/>
    <w:rsid w:val="007F3DFB"/>
    <w:rsid w:val="007F50E8"/>
    <w:rsid w:val="0080631A"/>
    <w:rsid w:val="00810B45"/>
    <w:rsid w:val="00811A1E"/>
    <w:rsid w:val="0081449B"/>
    <w:rsid w:val="00816438"/>
    <w:rsid w:val="00821B87"/>
    <w:rsid w:val="00821CF1"/>
    <w:rsid w:val="008242C3"/>
    <w:rsid w:val="00824CAE"/>
    <w:rsid w:val="00827E16"/>
    <w:rsid w:val="008338C0"/>
    <w:rsid w:val="00834DBA"/>
    <w:rsid w:val="00841F27"/>
    <w:rsid w:val="00844F4F"/>
    <w:rsid w:val="008460FC"/>
    <w:rsid w:val="00851C43"/>
    <w:rsid w:val="0085485A"/>
    <w:rsid w:val="008576F7"/>
    <w:rsid w:val="00867915"/>
    <w:rsid w:val="00867A39"/>
    <w:rsid w:val="00873FF9"/>
    <w:rsid w:val="00875498"/>
    <w:rsid w:val="00877480"/>
    <w:rsid w:val="00877B43"/>
    <w:rsid w:val="00880A59"/>
    <w:rsid w:val="00891484"/>
    <w:rsid w:val="0089240A"/>
    <w:rsid w:val="008A0371"/>
    <w:rsid w:val="008A158B"/>
    <w:rsid w:val="008A4FF9"/>
    <w:rsid w:val="008B1B26"/>
    <w:rsid w:val="008B3D4D"/>
    <w:rsid w:val="008B4031"/>
    <w:rsid w:val="008B4088"/>
    <w:rsid w:val="008C1FFB"/>
    <w:rsid w:val="008D16B2"/>
    <w:rsid w:val="008D31AF"/>
    <w:rsid w:val="008D3538"/>
    <w:rsid w:val="008D411E"/>
    <w:rsid w:val="008D4EB2"/>
    <w:rsid w:val="008D633D"/>
    <w:rsid w:val="008D7881"/>
    <w:rsid w:val="008E270F"/>
    <w:rsid w:val="008E3471"/>
    <w:rsid w:val="008F2268"/>
    <w:rsid w:val="008F2E7C"/>
    <w:rsid w:val="008F641C"/>
    <w:rsid w:val="00901E0A"/>
    <w:rsid w:val="0090226A"/>
    <w:rsid w:val="00904FF6"/>
    <w:rsid w:val="00905850"/>
    <w:rsid w:val="0090685E"/>
    <w:rsid w:val="00915F20"/>
    <w:rsid w:val="00916ED6"/>
    <w:rsid w:val="00921678"/>
    <w:rsid w:val="00924346"/>
    <w:rsid w:val="009319A9"/>
    <w:rsid w:val="009346F7"/>
    <w:rsid w:val="009400C1"/>
    <w:rsid w:val="00940BCC"/>
    <w:rsid w:val="009456EA"/>
    <w:rsid w:val="00954754"/>
    <w:rsid w:val="00956255"/>
    <w:rsid w:val="00962266"/>
    <w:rsid w:val="00964E54"/>
    <w:rsid w:val="00965D0B"/>
    <w:rsid w:val="00970CDB"/>
    <w:rsid w:val="0097338E"/>
    <w:rsid w:val="00974E74"/>
    <w:rsid w:val="00982F84"/>
    <w:rsid w:val="00987D18"/>
    <w:rsid w:val="00990F7D"/>
    <w:rsid w:val="00996D65"/>
    <w:rsid w:val="009A08CC"/>
    <w:rsid w:val="009A2F4C"/>
    <w:rsid w:val="009A457D"/>
    <w:rsid w:val="009A79E2"/>
    <w:rsid w:val="009B1913"/>
    <w:rsid w:val="009B3605"/>
    <w:rsid w:val="009C5A68"/>
    <w:rsid w:val="009D16AF"/>
    <w:rsid w:val="009D21D1"/>
    <w:rsid w:val="009D6E13"/>
    <w:rsid w:val="009E33CD"/>
    <w:rsid w:val="009E5908"/>
    <w:rsid w:val="009F1A69"/>
    <w:rsid w:val="009F3D33"/>
    <w:rsid w:val="009F557E"/>
    <w:rsid w:val="009F6A5B"/>
    <w:rsid w:val="00A02B06"/>
    <w:rsid w:val="00A07B88"/>
    <w:rsid w:val="00A108B1"/>
    <w:rsid w:val="00A252BB"/>
    <w:rsid w:val="00A30A62"/>
    <w:rsid w:val="00A33991"/>
    <w:rsid w:val="00A35001"/>
    <w:rsid w:val="00A42A8E"/>
    <w:rsid w:val="00A42D76"/>
    <w:rsid w:val="00A43829"/>
    <w:rsid w:val="00A46B68"/>
    <w:rsid w:val="00A475B2"/>
    <w:rsid w:val="00A47D9E"/>
    <w:rsid w:val="00A56191"/>
    <w:rsid w:val="00A608C6"/>
    <w:rsid w:val="00A614D6"/>
    <w:rsid w:val="00A64B2C"/>
    <w:rsid w:val="00A76D56"/>
    <w:rsid w:val="00A80E0F"/>
    <w:rsid w:val="00A8141F"/>
    <w:rsid w:val="00A81829"/>
    <w:rsid w:val="00A847D1"/>
    <w:rsid w:val="00A854AD"/>
    <w:rsid w:val="00A8689A"/>
    <w:rsid w:val="00A92776"/>
    <w:rsid w:val="00A92FAD"/>
    <w:rsid w:val="00A93C2F"/>
    <w:rsid w:val="00A968E6"/>
    <w:rsid w:val="00AA28DF"/>
    <w:rsid w:val="00AB0E0B"/>
    <w:rsid w:val="00AB1AA5"/>
    <w:rsid w:val="00AB27C9"/>
    <w:rsid w:val="00AB2C94"/>
    <w:rsid w:val="00AC5498"/>
    <w:rsid w:val="00AC6ED6"/>
    <w:rsid w:val="00AD0BD2"/>
    <w:rsid w:val="00AD2EE8"/>
    <w:rsid w:val="00AD3AFC"/>
    <w:rsid w:val="00AD7334"/>
    <w:rsid w:val="00AD7D3D"/>
    <w:rsid w:val="00AE1910"/>
    <w:rsid w:val="00AE1BE5"/>
    <w:rsid w:val="00AE5272"/>
    <w:rsid w:val="00AF51C4"/>
    <w:rsid w:val="00AF7609"/>
    <w:rsid w:val="00AF7817"/>
    <w:rsid w:val="00AF7EDA"/>
    <w:rsid w:val="00B0092A"/>
    <w:rsid w:val="00B01EAC"/>
    <w:rsid w:val="00B04862"/>
    <w:rsid w:val="00B11C2B"/>
    <w:rsid w:val="00B2053A"/>
    <w:rsid w:val="00B21965"/>
    <w:rsid w:val="00B27C1E"/>
    <w:rsid w:val="00B31855"/>
    <w:rsid w:val="00B31FB9"/>
    <w:rsid w:val="00B32ED6"/>
    <w:rsid w:val="00B330F4"/>
    <w:rsid w:val="00B37AC2"/>
    <w:rsid w:val="00B42937"/>
    <w:rsid w:val="00B43A22"/>
    <w:rsid w:val="00B5321B"/>
    <w:rsid w:val="00B54820"/>
    <w:rsid w:val="00B54D2F"/>
    <w:rsid w:val="00B55A5B"/>
    <w:rsid w:val="00B60863"/>
    <w:rsid w:val="00B62622"/>
    <w:rsid w:val="00B63C8A"/>
    <w:rsid w:val="00B70912"/>
    <w:rsid w:val="00B71A5B"/>
    <w:rsid w:val="00B7775B"/>
    <w:rsid w:val="00B84369"/>
    <w:rsid w:val="00B86E3C"/>
    <w:rsid w:val="00B87110"/>
    <w:rsid w:val="00B94625"/>
    <w:rsid w:val="00B97348"/>
    <w:rsid w:val="00BB3F9F"/>
    <w:rsid w:val="00BB4CB3"/>
    <w:rsid w:val="00BC065C"/>
    <w:rsid w:val="00BC1D44"/>
    <w:rsid w:val="00BC2D3D"/>
    <w:rsid w:val="00BD05F3"/>
    <w:rsid w:val="00BD2CB0"/>
    <w:rsid w:val="00BD5207"/>
    <w:rsid w:val="00BE5F24"/>
    <w:rsid w:val="00BF12F9"/>
    <w:rsid w:val="00BF4EC1"/>
    <w:rsid w:val="00BF7750"/>
    <w:rsid w:val="00C004C1"/>
    <w:rsid w:val="00C061AC"/>
    <w:rsid w:val="00C064D9"/>
    <w:rsid w:val="00C139C7"/>
    <w:rsid w:val="00C15269"/>
    <w:rsid w:val="00C25E41"/>
    <w:rsid w:val="00C3074A"/>
    <w:rsid w:val="00C3161B"/>
    <w:rsid w:val="00C33AB2"/>
    <w:rsid w:val="00C34D85"/>
    <w:rsid w:val="00C36BC6"/>
    <w:rsid w:val="00C37582"/>
    <w:rsid w:val="00C4054C"/>
    <w:rsid w:val="00C52506"/>
    <w:rsid w:val="00C52D0E"/>
    <w:rsid w:val="00C54A55"/>
    <w:rsid w:val="00C61D82"/>
    <w:rsid w:val="00C638B2"/>
    <w:rsid w:val="00C65E70"/>
    <w:rsid w:val="00C71C01"/>
    <w:rsid w:val="00C74278"/>
    <w:rsid w:val="00C74F9F"/>
    <w:rsid w:val="00C760DE"/>
    <w:rsid w:val="00C76A9F"/>
    <w:rsid w:val="00C77D39"/>
    <w:rsid w:val="00C801EC"/>
    <w:rsid w:val="00C80922"/>
    <w:rsid w:val="00C80E8D"/>
    <w:rsid w:val="00C81267"/>
    <w:rsid w:val="00C8215A"/>
    <w:rsid w:val="00C93611"/>
    <w:rsid w:val="00CA63EF"/>
    <w:rsid w:val="00CA7122"/>
    <w:rsid w:val="00CB2FA1"/>
    <w:rsid w:val="00CC3B2D"/>
    <w:rsid w:val="00CC6DD7"/>
    <w:rsid w:val="00CC7B9A"/>
    <w:rsid w:val="00CC7C8B"/>
    <w:rsid w:val="00CD050F"/>
    <w:rsid w:val="00CD1891"/>
    <w:rsid w:val="00CD1FF4"/>
    <w:rsid w:val="00CE65DB"/>
    <w:rsid w:val="00CF02CB"/>
    <w:rsid w:val="00CF1874"/>
    <w:rsid w:val="00D01649"/>
    <w:rsid w:val="00D036AA"/>
    <w:rsid w:val="00D1128A"/>
    <w:rsid w:val="00D15AB3"/>
    <w:rsid w:val="00D162A6"/>
    <w:rsid w:val="00D228B3"/>
    <w:rsid w:val="00D31A67"/>
    <w:rsid w:val="00D4424D"/>
    <w:rsid w:val="00D512D8"/>
    <w:rsid w:val="00D67A92"/>
    <w:rsid w:val="00D7254E"/>
    <w:rsid w:val="00D72CF4"/>
    <w:rsid w:val="00D83CF6"/>
    <w:rsid w:val="00D85722"/>
    <w:rsid w:val="00D858E7"/>
    <w:rsid w:val="00DA4636"/>
    <w:rsid w:val="00DA6A60"/>
    <w:rsid w:val="00DB40A4"/>
    <w:rsid w:val="00DB6460"/>
    <w:rsid w:val="00DC4E00"/>
    <w:rsid w:val="00DD07B2"/>
    <w:rsid w:val="00DD10E9"/>
    <w:rsid w:val="00DD1F6C"/>
    <w:rsid w:val="00DD6010"/>
    <w:rsid w:val="00DE3A7F"/>
    <w:rsid w:val="00DE6549"/>
    <w:rsid w:val="00DF0EDE"/>
    <w:rsid w:val="00DF131A"/>
    <w:rsid w:val="00DF50EA"/>
    <w:rsid w:val="00DF7A75"/>
    <w:rsid w:val="00E055C9"/>
    <w:rsid w:val="00E12D43"/>
    <w:rsid w:val="00E16EB3"/>
    <w:rsid w:val="00E2547F"/>
    <w:rsid w:val="00E26459"/>
    <w:rsid w:val="00E30DE6"/>
    <w:rsid w:val="00E34DC7"/>
    <w:rsid w:val="00E35CF4"/>
    <w:rsid w:val="00E37DB1"/>
    <w:rsid w:val="00E40721"/>
    <w:rsid w:val="00E444CE"/>
    <w:rsid w:val="00E51234"/>
    <w:rsid w:val="00E52DC1"/>
    <w:rsid w:val="00E531D3"/>
    <w:rsid w:val="00E67145"/>
    <w:rsid w:val="00E7246A"/>
    <w:rsid w:val="00E8273B"/>
    <w:rsid w:val="00E82A41"/>
    <w:rsid w:val="00E8594F"/>
    <w:rsid w:val="00E877A1"/>
    <w:rsid w:val="00E90F0A"/>
    <w:rsid w:val="00E97575"/>
    <w:rsid w:val="00EA1CFB"/>
    <w:rsid w:val="00EA3242"/>
    <w:rsid w:val="00EA3F27"/>
    <w:rsid w:val="00EA42CE"/>
    <w:rsid w:val="00EA4C93"/>
    <w:rsid w:val="00EA69AB"/>
    <w:rsid w:val="00EA7C00"/>
    <w:rsid w:val="00EB1059"/>
    <w:rsid w:val="00EB25AF"/>
    <w:rsid w:val="00EB2F2A"/>
    <w:rsid w:val="00EB7331"/>
    <w:rsid w:val="00EB7426"/>
    <w:rsid w:val="00EC263E"/>
    <w:rsid w:val="00EC55D0"/>
    <w:rsid w:val="00EC6E90"/>
    <w:rsid w:val="00ED0040"/>
    <w:rsid w:val="00ED0338"/>
    <w:rsid w:val="00ED1F07"/>
    <w:rsid w:val="00ED306B"/>
    <w:rsid w:val="00ED3E2A"/>
    <w:rsid w:val="00EE252C"/>
    <w:rsid w:val="00EE6659"/>
    <w:rsid w:val="00EF0BE0"/>
    <w:rsid w:val="00EF3910"/>
    <w:rsid w:val="00EF6417"/>
    <w:rsid w:val="00EF6590"/>
    <w:rsid w:val="00F05C3D"/>
    <w:rsid w:val="00F141C5"/>
    <w:rsid w:val="00F17C6A"/>
    <w:rsid w:val="00F201AE"/>
    <w:rsid w:val="00F24972"/>
    <w:rsid w:val="00F25352"/>
    <w:rsid w:val="00F331E7"/>
    <w:rsid w:val="00F34501"/>
    <w:rsid w:val="00F35825"/>
    <w:rsid w:val="00F371E0"/>
    <w:rsid w:val="00F43CCC"/>
    <w:rsid w:val="00F442FE"/>
    <w:rsid w:val="00F517C3"/>
    <w:rsid w:val="00F51D87"/>
    <w:rsid w:val="00F63FCA"/>
    <w:rsid w:val="00F67735"/>
    <w:rsid w:val="00F67AC9"/>
    <w:rsid w:val="00F722B3"/>
    <w:rsid w:val="00F7332E"/>
    <w:rsid w:val="00F74513"/>
    <w:rsid w:val="00F758C3"/>
    <w:rsid w:val="00F75F93"/>
    <w:rsid w:val="00F76933"/>
    <w:rsid w:val="00F77C53"/>
    <w:rsid w:val="00F85319"/>
    <w:rsid w:val="00F92BF9"/>
    <w:rsid w:val="00F970D5"/>
    <w:rsid w:val="00FA7AB1"/>
    <w:rsid w:val="00FB11AD"/>
    <w:rsid w:val="00FB1F8A"/>
    <w:rsid w:val="00FB2652"/>
    <w:rsid w:val="00FB7892"/>
    <w:rsid w:val="00FC0D93"/>
    <w:rsid w:val="00FC7397"/>
    <w:rsid w:val="00FC7A61"/>
    <w:rsid w:val="00FD1FC6"/>
    <w:rsid w:val="00FD3719"/>
    <w:rsid w:val="00FD61CB"/>
    <w:rsid w:val="00FE2BFC"/>
    <w:rsid w:val="00FE2F9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6DD7"/>
    <w:pPr>
      <w:widowControl w:val="0"/>
      <w:spacing w:before="200"/>
      <w:ind w:firstLine="0"/>
      <w:jc w:val="left"/>
      <w:outlineLvl w:val="1"/>
    </w:pPr>
    <w:rPr>
      <w:rFonts w:ascii="Oswald" w:eastAsia="Oswald" w:hAnsi="Oswald" w:cs="Oswald"/>
      <w:color w:val="783F04"/>
      <w:sz w:val="22"/>
      <w:szCs w:val="22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532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C6DD7"/>
    <w:rPr>
      <w:rFonts w:ascii="Oswald" w:eastAsia="Oswald" w:hAnsi="Oswald" w:cs="Oswald"/>
      <w:color w:val="783F04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FEDERALB-243-751</_dlc_DocId>
    <_dlc_DocIdUrl xmlns="dd2003e8-ee4e-4182-9e66-4c90256c9f25">
      <Url>https://intranet.federalberghi.it/pubblicazioni/_layouts/15/DocIdRedir.aspx?ID=FEDERALB-243-751</Url>
      <Description>FEDERALB-243-751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>comunicato stampa - Epifania 2018</Titolo_x0020_Comunicato>
    <Pubblicato xmlns="f24d3693-761f-4a0a-a3db-7a35dd342fc1">false</Pubblicato>
    <TaxCatchAll xmlns="dd2003e8-ee4e-4182-9e66-4c90256c9f25"/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671ef06a4dba16f2785e2238b3a62f4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90ef73cbe9b009f0d687026cdf57681d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AFB14-4F96-40EE-ADC6-7D882DC628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C6121-AC28-453B-B99A-3D684AB19B30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f24d3693-761f-4a0a-a3db-7a35dd342fc1"/>
  </ds:schemaRefs>
</ds:datastoreItem>
</file>

<file path=customXml/itemProps3.xml><?xml version="1.0" encoding="utf-8"?>
<ds:datastoreItem xmlns:ds="http://schemas.openxmlformats.org/officeDocument/2006/customXml" ds:itemID="{AC3575C0-040B-4EC1-958B-15036AB22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003e8-ee4e-4182-9e66-4c90256c9f25"/>
    <ds:schemaRef ds:uri="f24d3693-761f-4a0a-a3db-7a35dd342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740C5-7766-4943-80F4-36F345F44E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E0BD0E-7EBF-44F2-9724-85F18B602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(1).dotx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Irene Zambusi</cp:lastModifiedBy>
  <cp:revision>2</cp:revision>
  <cp:lastPrinted>2019-04-16T07:09:00Z</cp:lastPrinted>
  <dcterms:created xsi:type="dcterms:W3CDTF">2023-10-24T14:47:00Z</dcterms:created>
  <dcterms:modified xsi:type="dcterms:W3CDTF">2023-10-24T14:47:00Z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67cc4045-0d8f-4aeb-b304-7b2961792d6a</vt:lpwstr>
  </property>
  <property fmtid="{D5CDD505-2E9C-101B-9397-08002B2CF9AE}" pid="4" name="Pubblicato">
    <vt:bool>true</vt:bool>
  </property>
</Properties>
</file>